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E03CAA" w:rsidRPr="00E00333" w:rsidP="00E03CAA">
      <w:pPr>
        <w:jc w:val="both"/>
        <w:rPr>
          <w:rFonts w:ascii="Helvetica" w:hAnsi="Helvetica" w:cstheme="minorHAnsi"/>
          <w:color w:val="000000" w:themeColor="text1"/>
        </w:rPr>
      </w:pPr>
      <w:r w:rsidRPr="00E00333">
        <w:rPr>
          <w:rFonts w:ascii="Helvetica" w:hAnsi="Helvetica" w:cstheme="minorHAnsi"/>
          <w:color w:val="000000" w:themeColor="text1"/>
        </w:rPr>
        <w:t>Media Contact:</w:t>
      </w:r>
    </w:p>
    <w:p w:rsidR="00E03CAA" w:rsidRPr="00E00333" w:rsidP="00E03CAA">
      <w:pPr>
        <w:jc w:val="both"/>
        <w:rPr>
          <w:rFonts w:ascii="Helvetica" w:hAnsi="Helvetica" w:cstheme="minorHAnsi"/>
          <w:b/>
          <w:color w:val="000000" w:themeColor="text1"/>
        </w:rPr>
      </w:pPr>
      <w:r w:rsidRPr="00E00333">
        <w:rPr>
          <w:rFonts w:ascii="Helvetica" w:hAnsi="Helvetica" w:cstheme="minorHAnsi"/>
          <w:color w:val="000000" w:themeColor="text1"/>
        </w:rPr>
        <w:t>Liz Lindley, llindley@jaffepr.com, 917.455.1798</w:t>
      </w:r>
      <w:r w:rsidRPr="00E00333">
        <w:rPr>
          <w:rFonts w:ascii="Helvetica" w:hAnsi="Helvetica" w:cstheme="minorHAnsi"/>
          <w:b/>
          <w:color w:val="000000" w:themeColor="text1"/>
        </w:rPr>
        <w:tab/>
      </w:r>
    </w:p>
    <w:p w:rsidR="00FB71CD" w:rsidRPr="00E00333" w:rsidP="00E03CAA">
      <w:pPr>
        <w:jc w:val="both"/>
        <w:rPr>
          <w:rFonts w:ascii="Helvetica" w:hAnsi="Helvetica" w:cstheme="minorHAnsi"/>
          <w:b/>
          <w:color w:val="000000" w:themeColor="text1"/>
        </w:rPr>
      </w:pPr>
    </w:p>
    <w:p w:rsidR="00FB71CD" w:rsidRPr="00E00333" w:rsidP="00FB71CD">
      <w:pPr>
        <w:jc w:val="center"/>
        <w:rPr>
          <w:rStyle w:val="Strong"/>
          <w:rFonts w:ascii="Helvetica" w:hAnsi="Helvetica" w:cs="Arial"/>
          <w:color w:val="000000" w:themeColor="text1"/>
          <w:bdr w:val="nil"/>
        </w:rPr>
      </w:pPr>
      <w:r w:rsidRPr="00E00333">
        <w:rPr>
          <w:rStyle w:val="Strong"/>
          <w:rFonts w:ascii="Helvetica" w:hAnsi="Helvetica" w:cs="Arial"/>
          <w:color w:val="000000" w:themeColor="text1"/>
          <w:bdr w:val="nil"/>
        </w:rPr>
        <w:t xml:space="preserve">Pro Bono Legal Team of D’Amore Law Group, </w:t>
      </w:r>
      <w:r w:rsidRPr="00E00333">
        <w:rPr>
          <w:rFonts w:ascii="Helvetica" w:hAnsi="Helvetica" w:cs="Arial"/>
          <w:b/>
          <w:bCs/>
          <w:color w:val="000000" w:themeColor="text1"/>
          <w:bdr w:val="nil"/>
        </w:rPr>
        <w:t>The</w:t>
      </w:r>
      <w:r w:rsidRPr="00E00333">
        <w:rPr>
          <w:rFonts w:ascii="Helvetica" w:hAnsi="Helvetica" w:cs="Arial"/>
          <w:b/>
          <w:bCs/>
          <w:color w:val="000000" w:themeColor="text1"/>
          <w:bdr w:val="nil"/>
        </w:rPr>
        <w:t xml:space="preserve"> Brady Center to Prevent Gun Violence, and Cohen Milstein Sellers &amp; Toll PLLC </w:t>
      </w:r>
      <w:r w:rsidRPr="00E00333">
        <w:rPr>
          <w:rStyle w:val="Strong"/>
          <w:rFonts w:ascii="Helvetica" w:hAnsi="Helvetica" w:cs="Arial"/>
          <w:color w:val="000000" w:themeColor="text1"/>
          <w:bdr w:val="nil"/>
        </w:rPr>
        <w:t xml:space="preserve">Named a Finalist for </w:t>
      </w:r>
    </w:p>
    <w:p w:rsidR="004115B9" w:rsidRPr="00E00333" w:rsidP="00FB71CD">
      <w:pPr>
        <w:jc w:val="center"/>
        <w:rPr>
          <w:rStyle w:val="Strong"/>
          <w:rFonts w:ascii="Helvetica" w:hAnsi="Helvetica" w:cs="Arial"/>
          <w:color w:val="000000" w:themeColor="text1"/>
          <w:bdr w:val="nil"/>
        </w:rPr>
      </w:pPr>
      <w:r w:rsidRPr="00E00333">
        <w:rPr>
          <w:rStyle w:val="Strong"/>
          <w:rFonts w:ascii="Helvetica" w:hAnsi="Helvetica" w:cs="Arial"/>
          <w:color w:val="000000" w:themeColor="text1"/>
          <w:bdr w:val="nil"/>
        </w:rPr>
        <w:t xml:space="preserve">Public Justice’s 2019 Trial Lawyer of the Year Award </w:t>
      </w:r>
    </w:p>
    <w:p w:rsidR="00C76AC5" w:rsidRPr="00E00333" w:rsidP="00FB71CD">
      <w:pPr>
        <w:jc w:val="center"/>
        <w:rPr>
          <w:rStyle w:val="Strong"/>
          <w:rFonts w:ascii="Helvetica" w:hAnsi="Helvetica"/>
          <w:b w:val="0"/>
          <w:bCs w:val="0"/>
          <w:color w:val="000000" w:themeColor="text1"/>
        </w:rPr>
      </w:pPr>
    </w:p>
    <w:p w:rsidR="00E03CAA" w:rsidRPr="00E00333" w:rsidP="002D118B">
      <w:pPr>
        <w:jc w:val="center"/>
        <w:rPr>
          <w:rStyle w:val="Strong"/>
          <w:rFonts w:ascii="Helvetica" w:hAnsi="Helvetica"/>
          <w:b w:val="0"/>
          <w:bCs w:val="0"/>
          <w:color w:val="000000" w:themeColor="text1"/>
        </w:rPr>
      </w:pPr>
      <w:r w:rsidRPr="00E00333">
        <w:rPr>
          <w:rStyle w:val="Strong"/>
          <w:rFonts w:ascii="Helvetica" w:hAnsi="Helvetica" w:cs="Arial"/>
          <w:color w:val="000000" w:themeColor="text1"/>
          <w:bdr w:val="nil"/>
        </w:rPr>
        <w:t>- Englund Case Set</w:t>
      </w:r>
      <w:r>
        <w:rPr>
          <w:rStyle w:val="Strong"/>
          <w:rFonts w:ascii="Helvetica" w:hAnsi="Helvetica" w:cs="Arial"/>
          <w:color w:val="000000" w:themeColor="text1"/>
          <w:bdr w:val="nil"/>
        </w:rPr>
        <w:t>s</w:t>
      </w:r>
      <w:r w:rsidRPr="00E00333">
        <w:rPr>
          <w:rStyle w:val="Strong"/>
          <w:rFonts w:ascii="Helvetica" w:hAnsi="Helvetica" w:cs="Arial"/>
          <w:color w:val="000000" w:themeColor="text1"/>
          <w:bdr w:val="nil"/>
        </w:rPr>
        <w:t xml:space="preserve"> Precedent </w:t>
      </w:r>
      <w:r w:rsidRPr="00E00333">
        <w:rPr>
          <w:rFonts w:ascii="Helvetica" w:hAnsi="Helvetica" w:cs="Arial"/>
          <w:b/>
          <w:bCs/>
          <w:color w:val="000000" w:themeColor="text1"/>
          <w:spacing w:val="3"/>
          <w:shd w:val="clear" w:color="auto" w:fill="FFFFFF"/>
        </w:rPr>
        <w:t xml:space="preserve">as First to Hold Dealers Liable for Guns Sold Online </w:t>
      </w:r>
      <w:r w:rsidRPr="00E00333">
        <w:rPr>
          <w:rStyle w:val="Strong"/>
          <w:rFonts w:ascii="Helvetica" w:hAnsi="Helvetica" w:cs="Arial"/>
          <w:color w:val="000000" w:themeColor="text1"/>
          <w:bdr w:val="nil"/>
        </w:rPr>
        <w:t xml:space="preserve">- </w:t>
      </w:r>
    </w:p>
    <w:p w:rsidR="00CC33E5" w:rsidRPr="00E00333" w:rsidP="00CC33E5">
      <w:pPr>
        <w:pStyle w:val="NormalWeb"/>
        <w:textAlignment w:val="baseline"/>
        <w:rPr>
          <w:rFonts w:ascii="Helvetica" w:hAnsi="Helvetica" w:cs="Arial"/>
          <w:color w:val="000000" w:themeColor="text1"/>
          <w:bdr w:val="nil"/>
        </w:rPr>
      </w:pPr>
      <w:r w:rsidRPr="00E00333">
        <w:rPr>
          <w:rFonts w:ascii="Helvetica" w:hAnsi="Helvetica" w:cstheme="minorHAnsi"/>
          <w:color w:val="000000" w:themeColor="text1"/>
        </w:rPr>
        <w:t>(PORTLAND, ORE. – June x, 2019) – The legal team of</w:t>
      </w:r>
      <w:r w:rsidRPr="00E00333">
        <w:rPr>
          <w:rFonts w:ascii="Helvetica" w:hAnsi="Helvetica" w:cs="AppleSystemUIFont"/>
          <w:color w:val="000000" w:themeColor="text1"/>
        </w:rPr>
        <w:t xml:space="preserve"> D’Amore Law Group</w:t>
      </w:r>
      <w:r w:rsidRPr="00E00333">
        <w:rPr>
          <w:rStyle w:val="Strong"/>
          <w:rFonts w:ascii="Helvetica" w:hAnsi="Helvetica" w:cs="Arial"/>
          <w:b w:val="0"/>
          <w:bCs w:val="0"/>
          <w:color w:val="000000" w:themeColor="text1"/>
          <w:bdr w:val="nil"/>
        </w:rPr>
        <w:t xml:space="preserve">, </w:t>
      </w:r>
      <w:r w:rsidRPr="00E00333">
        <w:rPr>
          <w:rFonts w:ascii="Helvetica" w:hAnsi="Helvetica" w:cs="Arial"/>
          <w:color w:val="000000" w:themeColor="text1"/>
          <w:bdr w:val="nil"/>
        </w:rPr>
        <w:t>The Brady Center to Prevent Gun Violence</w:t>
      </w:r>
      <w:r w:rsidRPr="00E00333">
        <w:rPr>
          <w:rStyle w:val="Strong"/>
          <w:rFonts w:ascii="Helvetica" w:hAnsi="Helvetica" w:cs="Arial"/>
          <w:b w:val="0"/>
          <w:bCs w:val="0"/>
          <w:color w:val="000000" w:themeColor="text1"/>
          <w:bdr w:val="nil"/>
        </w:rPr>
        <w:t xml:space="preserve">, and </w:t>
      </w:r>
      <w:r w:rsidRPr="00E00333">
        <w:rPr>
          <w:rFonts w:ascii="Helvetica" w:hAnsi="Helvetica" w:cs="Arial"/>
          <w:color w:val="000000" w:themeColor="text1"/>
          <w:bdr w:val="nil"/>
        </w:rPr>
        <w:t>Cohen Milstein Sellers &amp; Toll</w:t>
      </w:r>
      <w:r w:rsidRPr="00E00333">
        <w:rPr>
          <w:rFonts w:ascii="Helvetica" w:hAnsi="Helvetica" w:cs="Arial"/>
          <w:b/>
          <w:bCs/>
          <w:color w:val="000000" w:themeColor="text1"/>
          <w:bdr w:val="nil"/>
        </w:rPr>
        <w:t xml:space="preserve"> </w:t>
      </w:r>
      <w:r w:rsidRPr="00E00333">
        <w:rPr>
          <w:rFonts w:ascii="Helvetica" w:hAnsi="Helvetica" w:cs="Arial"/>
          <w:color w:val="000000" w:themeColor="text1"/>
          <w:bdr w:val="nil"/>
        </w:rPr>
        <w:t>PLLC</w:t>
      </w:r>
      <w:r w:rsidRPr="00E00333">
        <w:rPr>
          <w:rStyle w:val="Strong"/>
          <w:rFonts w:ascii="Helvetica" w:hAnsi="Helvetica" w:cs="Arial"/>
          <w:b w:val="0"/>
          <w:bCs w:val="0"/>
          <w:color w:val="000000" w:themeColor="text1"/>
          <w:bdr w:val="nil"/>
        </w:rPr>
        <w:t xml:space="preserve"> has been selected </w:t>
      </w:r>
      <w:r>
        <w:rPr>
          <w:rStyle w:val="Strong"/>
          <w:rFonts w:ascii="Helvetica" w:hAnsi="Helvetica" w:cs="Arial"/>
          <w:b w:val="0"/>
          <w:bCs w:val="0"/>
          <w:color w:val="000000" w:themeColor="text1"/>
          <w:bdr w:val="nil"/>
        </w:rPr>
        <w:t xml:space="preserve">as a finalist </w:t>
      </w:r>
      <w:r w:rsidRPr="00E00333">
        <w:rPr>
          <w:rStyle w:val="Strong"/>
          <w:rFonts w:ascii="Helvetica" w:hAnsi="Helvetica" w:cs="Arial"/>
          <w:b w:val="0"/>
          <w:bCs w:val="0"/>
          <w:color w:val="000000" w:themeColor="text1"/>
          <w:bdr w:val="nil"/>
        </w:rPr>
        <w:t xml:space="preserve">for the </w:t>
      </w:r>
      <w:r w:rsidRPr="00E00333">
        <w:rPr>
          <w:rFonts w:ascii="Helvetica" w:hAnsi="Helvetica" w:cs="Arial"/>
          <w:color w:val="000000" w:themeColor="text1"/>
          <w:bdr w:val="nil"/>
        </w:rPr>
        <w:t xml:space="preserve">Public Justice’s 2019 Trial Lawyer of the Year Award. </w:t>
      </w:r>
      <w:r w:rsidRPr="00E00333">
        <w:rPr>
          <w:rStyle w:val="Strong"/>
          <w:rFonts w:ascii="Helvetica" w:hAnsi="Helvetica" w:cs="Arial"/>
          <w:b w:val="0"/>
          <w:bCs w:val="0"/>
          <w:color w:val="000000" w:themeColor="text1"/>
          <w:bdr w:val="nil"/>
        </w:rPr>
        <w:t xml:space="preserve">The lawyers represented the family of Kirsten Englund pro bono in a wrongful death action against online gun retailer World Pawn Exchange, in a </w:t>
      </w:r>
      <w:r w:rsidRPr="00E00333">
        <w:rPr>
          <w:rFonts w:ascii="Helvetica" w:hAnsi="Helvetica" w:cs="Arial"/>
          <w:color w:val="000000" w:themeColor="text1"/>
          <w:bdr w:val="nil"/>
        </w:rPr>
        <w:t>landmark case that has been hailed as the first to hold de</w:t>
      </w:r>
      <w:r w:rsidRPr="00E00333">
        <w:rPr>
          <w:rFonts w:ascii="Helvetica" w:hAnsi="Helvetica" w:cs="Arial"/>
          <w:color w:val="000000" w:themeColor="text1"/>
          <w:bdr w:val="nil"/>
        </w:rPr>
        <w:t xml:space="preserve">alers liable for guns sold online. </w:t>
      </w:r>
    </w:p>
    <w:p w:rsidR="003B59D9" w:rsidRPr="00E00333" w:rsidP="002D118B">
      <w:pPr>
        <w:pStyle w:val="NormalWeb"/>
        <w:textAlignment w:val="baseline"/>
        <w:rPr>
          <w:rFonts w:ascii="Helvetica" w:hAnsi="Helvetica" w:cs="Arial"/>
          <w:color w:val="000000" w:themeColor="text1"/>
          <w:bdr w:val="nil"/>
        </w:rPr>
      </w:pPr>
      <w:r w:rsidRPr="00E00333">
        <w:rPr>
          <w:rFonts w:ascii="Helvetica" w:hAnsi="Helvetica" w:cs="Arial"/>
          <w:color w:val="000000" w:themeColor="text1"/>
          <w:bdr w:val="nil"/>
        </w:rPr>
        <w:t xml:space="preserve">The Public Justice Award celebrates and recognizes the work of </w:t>
      </w:r>
      <w:r w:rsidRPr="00E00333">
        <w:rPr>
          <w:rFonts w:ascii="Helvetica" w:hAnsi="Helvetica" w:cs="Arial"/>
          <w:color w:val="000000" w:themeColor="text1"/>
          <w:bdr w:val="nil"/>
        </w:rPr>
        <w:t>attorney</w:t>
      </w:r>
      <w:r>
        <w:rPr>
          <w:rFonts w:ascii="Helvetica" w:hAnsi="Helvetica" w:cs="Arial"/>
          <w:color w:val="000000" w:themeColor="text1"/>
          <w:bdr w:val="nil"/>
        </w:rPr>
        <w:t>s</w:t>
      </w:r>
      <w:r w:rsidRPr="00E00333">
        <w:rPr>
          <w:rFonts w:ascii="Helvetica" w:hAnsi="Helvetica" w:cs="Arial"/>
          <w:color w:val="000000" w:themeColor="text1"/>
          <w:bdr w:val="nil"/>
        </w:rPr>
        <w:t xml:space="preserve"> or team</w:t>
      </w:r>
      <w:r>
        <w:rPr>
          <w:rFonts w:ascii="Helvetica" w:hAnsi="Helvetica" w:cs="Arial"/>
          <w:color w:val="000000" w:themeColor="text1"/>
          <w:bdr w:val="nil"/>
        </w:rPr>
        <w:t>s</w:t>
      </w:r>
      <w:r w:rsidRPr="00E00333">
        <w:rPr>
          <w:rFonts w:ascii="Helvetica" w:hAnsi="Helvetica" w:cs="Arial"/>
          <w:color w:val="000000" w:themeColor="text1"/>
          <w:bdr w:val="nil"/>
        </w:rPr>
        <w:t xml:space="preserve"> of attorneys working on behalf of individuals and groups that have suffered grave injustice or abuse. The award will be presented at th</w:t>
      </w:r>
      <w:r w:rsidRPr="00E00333">
        <w:rPr>
          <w:rFonts w:ascii="Helvetica" w:hAnsi="Helvetica" w:cs="Arial"/>
          <w:color w:val="000000" w:themeColor="text1"/>
          <w:bdr w:val="nil"/>
        </w:rPr>
        <w:t>e organization’s Annual Gala and Awards Dinner on July 29 in San Diego. </w:t>
      </w:r>
    </w:p>
    <w:p w:rsidR="004C6F0E" w:rsidRPr="00E00333" w:rsidP="003B59D9">
      <w:pPr>
        <w:rPr>
          <w:rFonts w:ascii="Helvetica" w:hAnsi="Helvetica" w:cs="Arial"/>
          <w:color w:val="000000" w:themeColor="text1"/>
        </w:rPr>
      </w:pPr>
      <w:r w:rsidRPr="00E00333">
        <w:rPr>
          <w:rFonts w:ascii="Helvetica" w:hAnsi="Helvetica" w:cs="Arial"/>
          <w:color w:val="000000" w:themeColor="text1"/>
          <w:shd w:val="clear" w:color="auto" w:fill="FFFFFF"/>
        </w:rPr>
        <w:t>“The facts of this tragedy are horrific, and no judgment will ever erase the pain felt by Kirsten’s family</w:t>
      </w:r>
      <w:r w:rsidRPr="00E00333">
        <w:rPr>
          <w:rFonts w:ascii="Helvetica" w:hAnsi="Helvetica" w:cs="Arial"/>
          <w:color w:val="000000" w:themeColor="text1"/>
          <w:shd w:val="clear" w:color="auto" w:fill="FFFFFF"/>
        </w:rPr>
        <w:t xml:space="preserve">,” said Tom D’Amore, who served as local </w:t>
      </w:r>
      <w:r>
        <w:rPr>
          <w:rFonts w:ascii="Helvetica" w:hAnsi="Helvetica" w:cs="Arial"/>
          <w:color w:val="000000" w:themeColor="text1"/>
          <w:shd w:val="clear" w:color="auto" w:fill="FFFFFF"/>
        </w:rPr>
        <w:t xml:space="preserve">Oregon </w:t>
      </w:r>
      <w:r w:rsidRPr="00E00333">
        <w:rPr>
          <w:rFonts w:ascii="Helvetica" w:hAnsi="Helvetica" w:cs="Arial"/>
          <w:color w:val="000000" w:themeColor="text1"/>
          <w:shd w:val="clear" w:color="auto" w:fill="FFFFFF"/>
        </w:rPr>
        <w:t xml:space="preserve">counsel. “As experts on federal gun laws, </w:t>
      </w:r>
      <w:r>
        <w:rPr>
          <w:rFonts w:ascii="Helvetica" w:hAnsi="Helvetica"/>
          <w:color w:val="000000" w:themeColor="text1"/>
          <w:spacing w:val="3"/>
          <w:shd w:val="clear" w:color="auto" w:fill="FFFFFF"/>
        </w:rPr>
        <w:t>Jonathan E. Lowy and Erin Davis</w:t>
      </w:r>
      <w:r w:rsidRPr="00E00333">
        <w:rPr>
          <w:rFonts w:ascii="Helvetica" w:hAnsi="Helvetica"/>
          <w:color w:val="000000" w:themeColor="text1"/>
          <w:spacing w:val="3"/>
          <w:shd w:val="clear" w:color="auto" w:fill="FFFFFF"/>
        </w:rPr>
        <w:t xml:space="preserve"> of the Brady Center to Prevent Gun Violence and </w:t>
      </w:r>
      <w:r>
        <w:rPr>
          <w:rFonts w:ascii="Helvetica" w:hAnsi="Helvetica"/>
          <w:color w:val="000000" w:themeColor="text1"/>
          <w:spacing w:val="3"/>
          <w:shd w:val="clear" w:color="auto" w:fill="FFFFFF"/>
        </w:rPr>
        <w:t xml:space="preserve">the </w:t>
      </w:r>
      <w:r w:rsidRPr="00E00333">
        <w:rPr>
          <w:rFonts w:ascii="Helvetica" w:hAnsi="Helvetica" w:cs="Arial"/>
          <w:color w:val="000000" w:themeColor="text1"/>
        </w:rPr>
        <w:t>Cohen Milstein Sellers &amp; Toll PLLC</w:t>
      </w:r>
      <w:r>
        <w:rPr>
          <w:rFonts w:ascii="Helvetica" w:hAnsi="Helvetica" w:cs="Arial"/>
          <w:color w:val="000000" w:themeColor="text1"/>
        </w:rPr>
        <w:t xml:space="preserve"> firm in Washington, DC</w:t>
      </w:r>
      <w:r w:rsidRPr="00E00333">
        <w:rPr>
          <w:rFonts w:ascii="Helvetica" w:hAnsi="Helvetica" w:cs="Arial"/>
          <w:color w:val="000000" w:themeColor="text1"/>
        </w:rPr>
        <w:t>, and their legal staff</w:t>
      </w:r>
      <w:r>
        <w:rPr>
          <w:rFonts w:ascii="Helvetica" w:hAnsi="Helvetica" w:cs="Arial"/>
          <w:color w:val="000000" w:themeColor="text1"/>
        </w:rPr>
        <w:t>s</w:t>
      </w:r>
      <w:r w:rsidRPr="00E00333">
        <w:rPr>
          <w:rFonts w:ascii="Helvetica" w:hAnsi="Helvetica" w:cs="Arial"/>
          <w:color w:val="000000" w:themeColor="text1"/>
        </w:rPr>
        <w:t>,</w:t>
      </w:r>
      <w:r w:rsidRPr="00E00333">
        <w:rPr>
          <w:rFonts w:ascii="Helvetica" w:hAnsi="Helvetica" w:cs="Arial"/>
          <w:color w:val="000000" w:themeColor="text1"/>
        </w:rPr>
        <w:t xml:space="preserve"> represented Kirsten’s family</w:t>
      </w:r>
      <w:r>
        <w:rPr>
          <w:rFonts w:ascii="Helvetica" w:hAnsi="Helvetica" w:cs="Arial"/>
          <w:color w:val="000000" w:themeColor="text1"/>
        </w:rPr>
        <w:t xml:space="preserve"> vigorously and with compassion,</w:t>
      </w:r>
      <w:r w:rsidRPr="00E00333">
        <w:rPr>
          <w:rFonts w:ascii="Helvetica" w:hAnsi="Helvetica" w:cs="Arial"/>
          <w:color w:val="000000" w:themeColor="text1"/>
        </w:rPr>
        <w:t xml:space="preserve"> and in doing so, made a </w:t>
      </w:r>
      <w:r w:rsidRPr="00E00333">
        <w:rPr>
          <w:rFonts w:ascii="Helvetica" w:hAnsi="Helvetica" w:cs="Arial"/>
          <w:color w:val="000000" w:themeColor="text1"/>
          <w:shd w:val="clear" w:color="auto" w:fill="FFFFFF"/>
        </w:rPr>
        <w:t>notable impact on the gun industry and the battle against gun violence.”</w:t>
      </w:r>
    </w:p>
    <w:p w:rsidR="004C6F0E" w:rsidRPr="00E00333" w:rsidP="003B59D9">
      <w:pPr>
        <w:rPr>
          <w:rFonts w:ascii="Helvetica" w:hAnsi="Helvetica" w:cs="Arial"/>
          <w:color w:val="000000" w:themeColor="text1"/>
          <w:shd w:val="clear" w:color="auto" w:fill="FFFFFF"/>
        </w:rPr>
      </w:pPr>
    </w:p>
    <w:p w:rsidR="002D118B" w:rsidRPr="00E00333" w:rsidP="003B59D9">
      <w:pPr>
        <w:rPr>
          <w:rFonts w:ascii="Helvetica" w:hAnsi="Helvetica" w:cs="Arial"/>
          <w:color w:val="000000" w:themeColor="text1"/>
          <w:spacing w:val="3"/>
          <w:shd w:val="clear" w:color="auto" w:fill="FFFFFF"/>
        </w:rPr>
      </w:pPr>
      <w:r w:rsidRPr="00E00333">
        <w:rPr>
          <w:rFonts w:ascii="Helvetica" w:hAnsi="Helvetica" w:cs="Arial"/>
          <w:color w:val="000000" w:themeColor="text1"/>
          <w:shd w:val="clear" w:color="auto" w:fill="FFFFFF"/>
        </w:rPr>
        <w:t xml:space="preserve">As background, Kirsten Englund was driving north up the Oregon Coast in April 2013 to visit </w:t>
      </w:r>
      <w:r w:rsidRPr="00E00333">
        <w:rPr>
          <w:rFonts w:ascii="Helvetica" w:hAnsi="Helvetica" w:cs="Arial"/>
          <w:color w:val="000000" w:themeColor="text1"/>
          <w:shd w:val="clear" w:color="auto" w:fill="FFFFFF"/>
        </w:rPr>
        <w:t>her son, a sophomore at the University of Oregon, when she stopped at a scenic overlook to see a lighthouse.</w:t>
      </w:r>
      <w:r w:rsidRPr="00E00333">
        <w:rPr>
          <w:rFonts w:ascii="Helvetica" w:hAnsi="Helvetica" w:cs="Arial"/>
          <w:color w:val="000000" w:themeColor="text1"/>
          <w:spacing w:val="3"/>
          <w:shd w:val="clear" w:color="auto" w:fill="FFFFFF"/>
        </w:rPr>
        <w:t xml:space="preserve"> She encountered Jeffrey Boyce, a stranger, who shot her six times, poured gasoline on her, lit her on fire and shot her again. The handgun Boyce us</w:t>
      </w:r>
      <w:r w:rsidRPr="00E00333">
        <w:rPr>
          <w:rFonts w:ascii="Helvetica" w:hAnsi="Helvetica" w:cs="Arial"/>
          <w:color w:val="000000" w:themeColor="text1"/>
          <w:spacing w:val="3"/>
          <w:shd w:val="clear" w:color="auto" w:fill="FFFFFF"/>
        </w:rPr>
        <w:t>ed was one of two semi-automatic pistols his mother helped buy for her mentally disturbed son.</w:t>
      </w:r>
    </w:p>
    <w:p w:rsidR="003B59D9" w:rsidRPr="00E00333" w:rsidP="003B59D9">
      <w:pPr>
        <w:rPr>
          <w:rFonts w:ascii="Helvetica" w:hAnsi="Helvetica" w:cs="Arial"/>
          <w:color w:val="000000" w:themeColor="text1"/>
          <w:spacing w:val="3"/>
          <w:shd w:val="clear" w:color="auto" w:fill="FFFFFF"/>
        </w:rPr>
      </w:pPr>
    </w:p>
    <w:p w:rsidR="003B59D9" w:rsidRPr="00E00333" w:rsidP="003B59D9">
      <w:pPr>
        <w:rPr>
          <w:rFonts w:ascii="Helvetica" w:hAnsi="Helvetica" w:cs="Arial"/>
          <w:color w:val="000000" w:themeColor="text1"/>
          <w:spacing w:val="3"/>
          <w:shd w:val="clear" w:color="auto" w:fill="FFFFFF"/>
        </w:rPr>
      </w:pPr>
      <w:r w:rsidRPr="00E00333">
        <w:rPr>
          <w:rFonts w:ascii="Helvetica" w:hAnsi="Helvetica" w:cs="Arial"/>
          <w:color w:val="000000" w:themeColor="text1"/>
          <w:spacing w:val="3"/>
          <w:shd w:val="clear" w:color="auto" w:fill="FFFFFF"/>
        </w:rPr>
        <w:t>The lawsuit sought damages against World Pawn Exchange of North Bend and J&amp;G Sales Inc., an online firearms dealer based in Arizona. J&amp;G sold the gun to Jeffrey</w:t>
      </w:r>
      <w:r w:rsidRPr="00E00333">
        <w:rPr>
          <w:rFonts w:ascii="Helvetica" w:hAnsi="Helvetica" w:cs="Arial"/>
          <w:color w:val="000000" w:themeColor="text1"/>
          <w:spacing w:val="3"/>
          <w:shd w:val="clear" w:color="auto" w:fill="FFFFFF"/>
        </w:rPr>
        <w:t xml:space="preserve"> Boyce via the Internet. J&amp;G then transferred the gun to World Pawn Exchange, which gave it to Boyce’s mother, who signed papers that she was the actual buyer.</w:t>
      </w:r>
    </w:p>
    <w:p w:rsidR="003B59D9" w:rsidRPr="00E00333" w:rsidP="00E03CAA">
      <w:pPr>
        <w:rPr>
          <w:rFonts w:ascii="Helvetica" w:hAnsi="Helvetica" w:cs="Arial"/>
          <w:color w:val="000000" w:themeColor="text1"/>
          <w:shd w:val="clear" w:color="auto" w:fill="FFFFFF"/>
        </w:rPr>
      </w:pPr>
    </w:p>
    <w:p w:rsidR="00E03CAA" w:rsidRPr="00E00333" w:rsidP="002D118B">
      <w:pPr>
        <w:rPr>
          <w:rFonts w:ascii="Helvetica" w:hAnsi="Helvetica"/>
          <w:color w:val="000000" w:themeColor="text1"/>
        </w:rPr>
      </w:pPr>
      <w:r w:rsidRPr="00E00333">
        <w:rPr>
          <w:rFonts w:ascii="Helvetica" w:hAnsi="Helvetica"/>
          <w:color w:val="000000" w:themeColor="text1"/>
          <w:shd w:val="clear" w:color="auto" w:fill="FFFFFF"/>
        </w:rPr>
        <w:t>As a result of the terms of the settlement and key decisions during the Englund litigation, sig</w:t>
      </w:r>
      <w:r w:rsidRPr="00E00333">
        <w:rPr>
          <w:rFonts w:ascii="Helvetica" w:hAnsi="Helvetica"/>
          <w:color w:val="000000" w:themeColor="text1"/>
          <w:shd w:val="clear" w:color="auto" w:fill="FFFFFF"/>
        </w:rPr>
        <w:t xml:space="preserve">nificant legal precedent was established at the state and federal level on gun dealer responsibility. </w:t>
      </w:r>
    </w:p>
    <w:p w:rsidR="00CC33E5" w:rsidRPr="00E00333" w:rsidP="00CC33E5">
      <w:pPr>
        <w:pStyle w:val="NormalWeb"/>
        <w:textAlignment w:val="baseline"/>
        <w:rPr>
          <w:rFonts w:ascii="Helvetica" w:hAnsi="Helvetica" w:cs="Arial"/>
          <w:color w:val="000000" w:themeColor="text1"/>
          <w:bdr w:val="nil"/>
        </w:rPr>
      </w:pPr>
      <w:r w:rsidRPr="00E00333">
        <w:rPr>
          <w:rFonts w:ascii="Helvetica" w:hAnsi="Helvetica" w:cs="Arial"/>
          <w:color w:val="000000" w:themeColor="text1"/>
          <w:bdr w:val="nil"/>
        </w:rPr>
        <w:t>Public Justice has summarized the Englund case on its website, and highlights these facts:</w:t>
      </w:r>
    </w:p>
    <w:p w:rsidR="004115B9" w:rsidRPr="00E00333" w:rsidP="00E03CAA">
      <w:pPr>
        <w:pStyle w:val="NormalWeb"/>
        <w:numPr>
          <w:ilvl w:val="0"/>
          <w:numId w:val="1"/>
        </w:numPr>
        <w:spacing w:before="0" w:beforeAutospacing="0" w:after="225" w:afterAutospacing="0"/>
        <w:textAlignment w:val="baseline"/>
        <w:rPr>
          <w:rFonts w:ascii="Helvetica" w:hAnsi="Helvetica" w:cs="Arial"/>
          <w:color w:val="000000" w:themeColor="text1"/>
        </w:rPr>
      </w:pPr>
      <w:r w:rsidRPr="00E00333">
        <w:rPr>
          <w:rFonts w:ascii="Helvetica" w:hAnsi="Helvetica" w:cs="Arial"/>
          <w:color w:val="000000" w:themeColor="text1"/>
        </w:rPr>
        <w:t>When someone other than the true purchaser of a firearm provid</w:t>
      </w:r>
      <w:r w:rsidRPr="00E00333">
        <w:rPr>
          <w:rFonts w:ascii="Helvetica" w:hAnsi="Helvetica" w:cs="Arial"/>
          <w:color w:val="000000" w:themeColor="text1"/>
        </w:rPr>
        <w:t>es their name, completes the background check, takes possession of the firearm and then hands it off to the true purchaser, such actions constitute a straw sale, which is illegal.</w:t>
      </w:r>
    </w:p>
    <w:p w:rsidR="004115B9" w:rsidRPr="00E00333" w:rsidP="00E03CAA">
      <w:pPr>
        <w:pStyle w:val="NormalWeb"/>
        <w:numPr>
          <w:ilvl w:val="0"/>
          <w:numId w:val="1"/>
        </w:numPr>
        <w:spacing w:before="0" w:beforeAutospacing="0" w:after="225" w:afterAutospacing="0"/>
        <w:textAlignment w:val="baseline"/>
        <w:rPr>
          <w:rFonts w:ascii="Helvetica" w:hAnsi="Helvetica" w:cs="Arial"/>
          <w:color w:val="000000" w:themeColor="text1"/>
        </w:rPr>
      </w:pPr>
      <w:r w:rsidRPr="00E00333">
        <w:rPr>
          <w:rFonts w:ascii="Helvetica" w:hAnsi="Helvetica" w:cs="Arial"/>
          <w:color w:val="000000" w:themeColor="text1"/>
        </w:rPr>
        <w:t>The</w:t>
      </w:r>
      <w:r w:rsidRPr="00E00333">
        <w:rPr>
          <w:rStyle w:val="apple-converted-space"/>
          <w:rFonts w:ascii="Helvetica" w:hAnsi="Helvetica" w:cs="Arial"/>
          <w:color w:val="000000" w:themeColor="text1"/>
        </w:rPr>
        <w:t> </w:t>
      </w:r>
      <w:r w:rsidRPr="00E00333">
        <w:rPr>
          <w:rStyle w:val="Emphasis"/>
          <w:rFonts w:ascii="Helvetica" w:hAnsi="Helvetica" w:cs="Arial"/>
          <w:i w:val="0"/>
          <w:iCs w:val="0"/>
          <w:color w:val="000000" w:themeColor="text1"/>
          <w:bdr w:val="nil"/>
        </w:rPr>
        <w:t>Englund</w:t>
      </w:r>
      <w:r w:rsidRPr="00E00333">
        <w:rPr>
          <w:rStyle w:val="apple-converted-space"/>
          <w:rFonts w:ascii="Helvetica" w:hAnsi="Helvetica" w:cs="Arial"/>
          <w:i/>
          <w:iCs/>
          <w:color w:val="000000" w:themeColor="text1"/>
        </w:rPr>
        <w:t> </w:t>
      </w:r>
      <w:r w:rsidRPr="00E00333">
        <w:rPr>
          <w:rFonts w:ascii="Helvetica" w:hAnsi="Helvetica" w:cs="Arial"/>
          <w:color w:val="000000" w:themeColor="text1"/>
        </w:rPr>
        <w:t xml:space="preserve">case sought to fill a significant gap in existing </w:t>
      </w:r>
      <w:r w:rsidRPr="00E00333">
        <w:rPr>
          <w:rFonts w:ascii="Helvetica" w:hAnsi="Helvetica" w:cs="Arial"/>
          <w:color w:val="000000" w:themeColor="text1"/>
        </w:rPr>
        <w:t>jurisprudence by establishing that online firearms dealers are subject to the same standard of care as firearms dealers operating from physical locations.</w:t>
      </w:r>
    </w:p>
    <w:p w:rsidR="00CC33E5" w:rsidRPr="00E00333" w:rsidP="00E03CAA">
      <w:pPr>
        <w:pStyle w:val="NormalWeb"/>
        <w:numPr>
          <w:ilvl w:val="0"/>
          <w:numId w:val="1"/>
        </w:numPr>
        <w:spacing w:before="0" w:beforeAutospacing="0" w:after="225" w:afterAutospacing="0"/>
        <w:textAlignment w:val="baseline"/>
        <w:rPr>
          <w:rFonts w:ascii="Helvetica" w:hAnsi="Helvetica" w:cs="Arial"/>
          <w:color w:val="000000" w:themeColor="text1"/>
        </w:rPr>
      </w:pPr>
      <w:r w:rsidRPr="00E00333">
        <w:rPr>
          <w:rFonts w:ascii="Helvetica" w:hAnsi="Helvetica" w:cs="Arial"/>
          <w:color w:val="000000" w:themeColor="text1"/>
        </w:rPr>
        <w:t>The settlements, the only ones obtained in U.S. litigation relating to online straw sales, required t</w:t>
      </w:r>
      <w:r w:rsidRPr="00E00333">
        <w:rPr>
          <w:rFonts w:ascii="Helvetica" w:hAnsi="Helvetica" w:cs="Arial"/>
          <w:color w:val="000000" w:themeColor="text1"/>
        </w:rPr>
        <w:t xml:space="preserve">he dealer defendants to make specific, meaningful changes to their firearm sales practices that are designed to ensure firearms are provided only to the actual purchaser and to make it less likely that any other family will suffer a similar tragedy.  </w:t>
      </w:r>
    </w:p>
    <w:p w:rsidR="00CC33E5" w:rsidRPr="00E00333" w:rsidP="00E03CAA">
      <w:pPr>
        <w:pStyle w:val="NormalWeb"/>
        <w:numPr>
          <w:ilvl w:val="0"/>
          <w:numId w:val="1"/>
        </w:numPr>
        <w:spacing w:before="0" w:beforeAutospacing="0" w:after="225" w:afterAutospacing="0"/>
        <w:textAlignment w:val="baseline"/>
        <w:rPr>
          <w:rFonts w:ascii="Helvetica" w:hAnsi="Helvetica" w:cs="Arial"/>
          <w:color w:val="000000" w:themeColor="text1"/>
        </w:rPr>
      </w:pPr>
      <w:r w:rsidRPr="00E00333">
        <w:rPr>
          <w:rFonts w:ascii="Helvetica" w:hAnsi="Helvetica" w:cs="Arial"/>
          <w:color w:val="000000" w:themeColor="text1"/>
        </w:rPr>
        <w:t xml:space="preserve">For the first time, dealers involved in the online sale and transfer of firearms were held to account for their role in a tragic death. Earlier in the case, the Englund family had also obtained a $400,000 settlement with the shooter’s mother – believed to </w:t>
      </w:r>
      <w:r w:rsidRPr="00E00333">
        <w:rPr>
          <w:rFonts w:ascii="Helvetica" w:hAnsi="Helvetica" w:cs="Arial"/>
          <w:color w:val="000000" w:themeColor="text1"/>
        </w:rPr>
        <w:t>be the largest monetary settlement obtained from an individual straw purchaser.</w:t>
      </w:r>
    </w:p>
    <w:p w:rsidR="00CC33E5" w:rsidRPr="00E00333" w:rsidP="00E03CAA">
      <w:pPr>
        <w:pStyle w:val="NormalWeb"/>
        <w:numPr>
          <w:ilvl w:val="0"/>
          <w:numId w:val="1"/>
        </w:numPr>
        <w:textAlignment w:val="baseline"/>
        <w:rPr>
          <w:rFonts w:ascii="Helvetica" w:hAnsi="Helvetica" w:cs="Arial"/>
          <w:b/>
          <w:bCs/>
          <w:i/>
          <w:iCs/>
          <w:color w:val="000000" w:themeColor="text1"/>
          <w:bdr w:val="nil"/>
        </w:rPr>
      </w:pPr>
      <w:r w:rsidRPr="00E00333">
        <w:rPr>
          <w:rFonts w:ascii="Helvetica" w:hAnsi="Helvetica" w:cs="Arial"/>
          <w:color w:val="000000" w:themeColor="text1"/>
        </w:rPr>
        <w:t xml:space="preserve">These decisions were the first in the nation to establish the precedent that firearm dealers are subject to the same principles of negligence law whether they sell firearms in </w:t>
      </w:r>
      <w:r w:rsidRPr="00E00333">
        <w:rPr>
          <w:rFonts w:ascii="Helvetica" w:hAnsi="Helvetica" w:cs="Arial"/>
          <w:color w:val="000000" w:themeColor="text1"/>
        </w:rPr>
        <w:t>person or online.</w:t>
      </w:r>
    </w:p>
    <w:p w:rsidR="002D118B" w:rsidRPr="00E00333" w:rsidP="002D118B">
      <w:pPr>
        <w:pStyle w:val="NormalWeb"/>
        <w:spacing w:before="0" w:beforeAutospacing="0" w:after="0" w:afterAutospacing="0"/>
        <w:textAlignment w:val="baseline"/>
        <w:rPr>
          <w:rStyle w:val="apple-converted-space"/>
          <w:rFonts w:ascii="Helvetica" w:hAnsi="Helvetica" w:cs="Arial"/>
          <w:color w:val="000000" w:themeColor="text1"/>
        </w:rPr>
      </w:pPr>
      <w:r w:rsidRPr="00E00333">
        <w:rPr>
          <w:rStyle w:val="Strong"/>
          <w:rFonts w:ascii="Helvetica" w:hAnsi="Helvetica" w:cs="Arial"/>
          <w:b w:val="0"/>
          <w:bCs w:val="0"/>
          <w:color w:val="000000" w:themeColor="text1"/>
          <w:bdr w:val="nil"/>
        </w:rPr>
        <w:t>The legal</w:t>
      </w:r>
      <w:r w:rsidRPr="00E00333">
        <w:rPr>
          <w:rStyle w:val="Strong"/>
          <w:rFonts w:ascii="Helvetica" w:hAnsi="Helvetica" w:cs="Arial"/>
          <w:i/>
          <w:iCs/>
          <w:color w:val="000000" w:themeColor="text1"/>
          <w:bdr w:val="nil"/>
        </w:rPr>
        <w:t xml:space="preserve"> </w:t>
      </w:r>
      <w:r w:rsidRPr="00E00333">
        <w:rPr>
          <w:rFonts w:ascii="Helvetica" w:hAnsi="Helvetica" w:cs="Arial"/>
          <w:color w:val="000000" w:themeColor="text1"/>
        </w:rPr>
        <w:t xml:space="preserve">team nominated for the Public Justice’s </w:t>
      </w:r>
      <w:r w:rsidRPr="00E00333">
        <w:rPr>
          <w:rFonts w:ascii="Helvetica" w:hAnsi="Helvetica" w:cs="Arial"/>
          <w:color w:val="000000" w:themeColor="text1"/>
          <w:bdr w:val="nil"/>
        </w:rPr>
        <w:t>2019 Trial Lawyer of the Year Award includes</w:t>
      </w:r>
      <w:r w:rsidRPr="00E00333">
        <w:rPr>
          <w:rFonts w:ascii="Helvetica" w:hAnsi="Helvetica" w:cs="Arial"/>
          <w:color w:val="000000" w:themeColor="text1"/>
        </w:rPr>
        <w:t>:</w:t>
      </w:r>
      <w:r w:rsidRPr="00E00333">
        <w:rPr>
          <w:rStyle w:val="apple-converted-space"/>
          <w:rFonts w:ascii="Helvetica" w:hAnsi="Helvetica" w:cs="Arial"/>
          <w:color w:val="000000" w:themeColor="text1"/>
        </w:rPr>
        <w:t> </w:t>
      </w:r>
    </w:p>
    <w:p w:rsidR="002D118B" w:rsidRPr="00E00333" w:rsidP="002D118B">
      <w:pPr>
        <w:pStyle w:val="NormalWeb"/>
        <w:numPr>
          <w:ilvl w:val="0"/>
          <w:numId w:val="1"/>
        </w:numPr>
        <w:spacing w:before="0" w:beforeAutospacing="0" w:after="0" w:afterAutospacing="0"/>
        <w:textAlignment w:val="baseline"/>
        <w:rPr>
          <w:rFonts w:ascii="Helvetica" w:hAnsi="Helvetica" w:cs="Arial"/>
          <w:color w:val="000000" w:themeColor="text1"/>
        </w:rPr>
      </w:pPr>
      <w:r w:rsidRPr="00E00333">
        <w:rPr>
          <w:rStyle w:val="Strong"/>
          <w:rFonts w:ascii="Helvetica" w:hAnsi="Helvetica" w:cs="Arial"/>
          <w:b w:val="0"/>
          <w:bCs w:val="0"/>
          <w:color w:val="000000" w:themeColor="text1"/>
          <w:bdr w:val="nil"/>
        </w:rPr>
        <w:t>Julie Goldsmith Reiser, Molly J. Bowen,</w:t>
      </w:r>
      <w:r w:rsidRPr="00E00333">
        <w:rPr>
          <w:rStyle w:val="apple-converted-space"/>
          <w:rFonts w:ascii="Helvetica" w:hAnsi="Helvetica" w:cs="Arial"/>
          <w:b/>
          <w:bCs/>
          <w:color w:val="000000" w:themeColor="text1"/>
        </w:rPr>
        <w:t> </w:t>
      </w:r>
      <w:r w:rsidRPr="00E00333">
        <w:rPr>
          <w:rStyle w:val="Strong"/>
          <w:rFonts w:ascii="Helvetica" w:hAnsi="Helvetica" w:cs="Arial"/>
          <w:b w:val="0"/>
          <w:bCs w:val="0"/>
          <w:color w:val="000000" w:themeColor="text1"/>
          <w:bdr w:val="nil"/>
        </w:rPr>
        <w:t>Sally Handmaker Guido</w:t>
      </w:r>
      <w:r w:rsidRPr="00E00333">
        <w:rPr>
          <w:rFonts w:ascii="Helvetica" w:hAnsi="Helvetica" w:cs="Arial"/>
          <w:color w:val="000000" w:themeColor="text1"/>
        </w:rPr>
        <w:t>, Cohen Milstein Sellers &amp; Toll PLLC, Washington, D.C.</w:t>
      </w:r>
    </w:p>
    <w:p w:rsidR="002D118B" w:rsidRPr="00E00333" w:rsidP="002D118B">
      <w:pPr>
        <w:pStyle w:val="NormalWeb"/>
        <w:numPr>
          <w:ilvl w:val="0"/>
          <w:numId w:val="1"/>
        </w:numPr>
        <w:spacing w:before="0" w:beforeAutospacing="0" w:after="0" w:afterAutospacing="0"/>
        <w:textAlignment w:val="baseline"/>
        <w:rPr>
          <w:rStyle w:val="apple-converted-space"/>
          <w:rFonts w:ascii="Helvetica" w:hAnsi="Helvetica" w:cs="Arial"/>
          <w:color w:val="000000" w:themeColor="text1"/>
        </w:rPr>
      </w:pPr>
      <w:r w:rsidRPr="00E00333">
        <w:rPr>
          <w:rStyle w:val="Strong"/>
          <w:rFonts w:ascii="Helvetica" w:hAnsi="Helvetica" w:cs="Arial"/>
          <w:b w:val="0"/>
          <w:bCs w:val="0"/>
          <w:color w:val="000000" w:themeColor="text1"/>
          <w:bdr w:val="nil"/>
        </w:rPr>
        <w:t>Raymond M. Sarola</w:t>
      </w:r>
      <w:r w:rsidRPr="00E00333">
        <w:rPr>
          <w:rFonts w:ascii="Helvetica" w:hAnsi="Helvetica" w:cs="Arial"/>
          <w:color w:val="000000" w:themeColor="text1"/>
        </w:rPr>
        <w:t xml:space="preserve">, </w:t>
      </w:r>
      <w:r w:rsidRPr="00E00333">
        <w:rPr>
          <w:rFonts w:ascii="Helvetica" w:hAnsi="Helvetica" w:cs="Arial"/>
          <w:color w:val="000000" w:themeColor="text1"/>
        </w:rPr>
        <w:t>Cohen Milstein Sellers &amp; Toll PLLC, Philadelphia, PA</w:t>
      </w:r>
    </w:p>
    <w:p w:rsidR="002D118B" w:rsidRPr="00E00333" w:rsidP="002D118B">
      <w:pPr>
        <w:pStyle w:val="NormalWeb"/>
        <w:numPr>
          <w:ilvl w:val="0"/>
          <w:numId w:val="1"/>
        </w:numPr>
        <w:spacing w:before="0" w:beforeAutospacing="0" w:after="0" w:afterAutospacing="0"/>
        <w:textAlignment w:val="baseline"/>
        <w:rPr>
          <w:rFonts w:ascii="Helvetica" w:hAnsi="Helvetica" w:cs="Arial"/>
          <w:color w:val="000000" w:themeColor="text1"/>
        </w:rPr>
      </w:pPr>
      <w:r w:rsidRPr="00E00333">
        <w:rPr>
          <w:rStyle w:val="Strong"/>
          <w:rFonts w:ascii="Helvetica" w:hAnsi="Helvetica" w:cs="Arial"/>
          <w:b w:val="0"/>
          <w:bCs w:val="0"/>
          <w:color w:val="000000" w:themeColor="text1"/>
          <w:bdr w:val="nil"/>
        </w:rPr>
        <w:t>Jonathan E. Lowy, Erin Davis, Josh Scharff</w:t>
      </w:r>
      <w:r w:rsidRPr="00E00333">
        <w:rPr>
          <w:rFonts w:ascii="Helvetica" w:hAnsi="Helvetica" w:cs="Arial"/>
          <w:color w:val="000000" w:themeColor="text1"/>
        </w:rPr>
        <w:t>, Brady Center to Prevent Gun Violence, Washington, D.C.</w:t>
      </w:r>
    </w:p>
    <w:p w:rsidR="002D118B" w:rsidRPr="00E00333" w:rsidP="002D118B">
      <w:pPr>
        <w:pStyle w:val="NormalWeb"/>
        <w:numPr>
          <w:ilvl w:val="0"/>
          <w:numId w:val="1"/>
        </w:numPr>
        <w:spacing w:before="0" w:beforeAutospacing="0" w:after="0" w:afterAutospacing="0"/>
        <w:textAlignment w:val="baseline"/>
        <w:rPr>
          <w:rFonts w:ascii="Helvetica" w:hAnsi="Helvetica" w:cs="Arial"/>
          <w:color w:val="000000" w:themeColor="text1"/>
        </w:rPr>
      </w:pPr>
      <w:r w:rsidRPr="00E00333">
        <w:rPr>
          <w:rStyle w:val="Strong"/>
          <w:rFonts w:ascii="Helvetica" w:hAnsi="Helvetica" w:cs="Arial"/>
          <w:b w:val="0"/>
          <w:bCs w:val="0"/>
          <w:color w:val="000000" w:themeColor="text1"/>
          <w:bdr w:val="nil"/>
        </w:rPr>
        <w:t>Thomas D’Amore</w:t>
      </w:r>
      <w:r w:rsidRPr="00E00333">
        <w:rPr>
          <w:rFonts w:ascii="Helvetica" w:hAnsi="Helvetica" w:cs="Arial"/>
          <w:color w:val="000000" w:themeColor="text1"/>
        </w:rPr>
        <w:t>, D’Amore Law Group, Portland, Ore</w:t>
      </w:r>
      <w:r>
        <w:rPr>
          <w:rFonts w:ascii="Helvetica" w:hAnsi="Helvetica" w:cs="Arial"/>
          <w:color w:val="000000" w:themeColor="text1"/>
        </w:rPr>
        <w:t>gon.</w:t>
      </w:r>
    </w:p>
    <w:p w:rsidR="002D118B" w:rsidRPr="00E00333" w:rsidP="002D118B">
      <w:pPr>
        <w:pStyle w:val="NormalWeb"/>
        <w:textAlignment w:val="baseline"/>
        <w:rPr>
          <w:rFonts w:ascii="Helvetica" w:hAnsi="Helvetica" w:cs="Arial"/>
          <w:color w:val="000000" w:themeColor="text1"/>
        </w:rPr>
      </w:pPr>
    </w:p>
    <w:p w:rsidR="002D118B" w:rsidRPr="00E00333" w:rsidP="002D118B">
      <w:pPr>
        <w:pStyle w:val="NormalWeb"/>
        <w:spacing w:before="0" w:beforeAutospacing="0" w:after="0" w:afterAutospacing="0"/>
        <w:rPr>
          <w:rStyle w:val="Strong"/>
          <w:rFonts w:ascii="Helvetica" w:hAnsi="Helvetica" w:eastAsiaTheme="minorEastAsia" w:cstheme="minorHAnsi"/>
          <w:color w:val="000000" w:themeColor="text1"/>
          <w:u w:val="single"/>
        </w:rPr>
      </w:pPr>
      <w:r w:rsidRPr="00E00333">
        <w:rPr>
          <w:rStyle w:val="Strong"/>
          <w:rFonts w:ascii="Helvetica" w:hAnsi="Helvetica" w:eastAsiaTheme="minorEastAsia" w:cstheme="minorHAnsi"/>
          <w:color w:val="000000" w:themeColor="text1"/>
          <w:u w:val="single"/>
        </w:rPr>
        <w:t>About D’Amore Law Group</w:t>
      </w:r>
    </w:p>
    <w:p w:rsidR="002D118B" w:rsidRPr="00E00333" w:rsidP="002D118B">
      <w:pPr>
        <w:rPr>
          <w:rFonts w:ascii="Helvetica" w:hAnsi="Helvetica" w:cs="Arial"/>
          <w:color w:val="000000" w:themeColor="text1"/>
          <w:shd w:val="clear" w:color="auto" w:fill="FFFFFF"/>
        </w:rPr>
      </w:pPr>
    </w:p>
    <w:p w:rsidR="002D118B" w:rsidRPr="00E00333" w:rsidP="002D118B">
      <w:pPr>
        <w:rPr>
          <w:rFonts w:ascii="Helvetica" w:hAnsi="Helvetica" w:cstheme="minorHAnsi"/>
          <w:color w:val="000000" w:themeColor="text1"/>
        </w:rPr>
      </w:pPr>
      <w:r w:rsidRPr="00E00333">
        <w:rPr>
          <w:rFonts w:ascii="Helvetica" w:hAnsi="Helvetica" w:cs="Arial"/>
          <w:color w:val="000000" w:themeColor="text1"/>
          <w:shd w:val="clear" w:color="auto" w:fill="FFFFFF"/>
        </w:rPr>
        <w:t xml:space="preserve">Since 1992, the D’Amore Law Group has represented thousands of injury victims and their loved ones in Oregon, Washington and California in various complex and catastrophic personal injury matters. Founder Tom D’Amore </w:t>
      </w:r>
      <w:r w:rsidRPr="00E00333">
        <w:rPr>
          <w:rFonts w:ascii="Helvetica" w:hAnsi="Helvetica" w:cs="Segoe UI"/>
          <w:color w:val="000000" w:themeColor="text1"/>
          <w:shd w:val="clear" w:color="auto" w:fill="FFFFFF"/>
        </w:rPr>
        <w:t>is dedicated to asserting the rights of</w:t>
      </w:r>
      <w:r w:rsidRPr="00E00333">
        <w:rPr>
          <w:rFonts w:ascii="Helvetica" w:hAnsi="Helvetica" w:cs="Segoe UI"/>
          <w:color w:val="000000" w:themeColor="text1"/>
          <w:shd w:val="clear" w:color="auto" w:fill="FFFFFF"/>
        </w:rPr>
        <w:t xml:space="preserve"> clients who have been seriously injured by the negligence and intentional conduct of individual and corporate wrongdoers. The firm handles a wide variety of personal injury and wrongful death cases, in areas including automobile and trucking accidents, mo</w:t>
      </w:r>
      <w:r w:rsidRPr="00E00333">
        <w:rPr>
          <w:rFonts w:ascii="Helvetica" w:hAnsi="Helvetica" w:cs="Segoe UI"/>
          <w:color w:val="000000" w:themeColor="text1"/>
          <w:shd w:val="clear" w:color="auto" w:fill="FFFFFF"/>
        </w:rPr>
        <w:t xml:space="preserve">torcycle and bicycle accidents, nursing home and medical negligence, unsafe and defective products, sexual abuse, construction accidents and job site injuries, class action suits and bad faith insurance practices. </w:t>
      </w:r>
      <w:r w:rsidRPr="00E00333">
        <w:rPr>
          <w:rFonts w:ascii="Helvetica" w:hAnsi="Helvetica" w:cs="Arial"/>
          <w:color w:val="000000" w:themeColor="text1"/>
          <w:shd w:val="clear" w:color="auto" w:fill="FFFFFF"/>
        </w:rPr>
        <w:t>The firm has locations for meeting clients</w:t>
      </w:r>
      <w:r w:rsidRPr="00E00333">
        <w:rPr>
          <w:rFonts w:ascii="Helvetica" w:hAnsi="Helvetica" w:cs="Arial"/>
          <w:color w:val="000000" w:themeColor="text1"/>
          <w:shd w:val="clear" w:color="auto" w:fill="FFFFFF"/>
        </w:rPr>
        <w:t xml:space="preserve"> in Portland, Lake Oswego, and Bend, Oregon, as well as in Vancouver, Washington. For more information, please visit www.damorelaw.com. </w:t>
      </w:r>
    </w:p>
    <w:p w:rsidR="002D118B" w:rsidRPr="00E00333" w:rsidP="002D118B">
      <w:pPr>
        <w:jc w:val="both"/>
        <w:rPr>
          <w:rFonts w:ascii="Helvetica" w:hAnsi="Helvetica" w:cstheme="minorHAnsi"/>
          <w:color w:val="000000" w:themeColor="text1"/>
        </w:rPr>
      </w:pPr>
    </w:p>
    <w:p w:rsidR="002D118B" w:rsidRPr="004A690C" w:rsidP="002D118B">
      <w:pPr>
        <w:pStyle w:val="NormalWeb"/>
        <w:textAlignment w:val="baseline"/>
        <w:rPr>
          <w:rFonts w:ascii="Helvetica" w:hAnsi="Helvetica" w:cs="Arial"/>
          <w:b/>
          <w:bCs/>
          <w:color w:val="000000" w:themeColor="text1"/>
          <w:u w:val="single"/>
          <w:bdr w:val="nil"/>
        </w:rPr>
      </w:pPr>
      <w:r w:rsidRPr="004A690C">
        <w:rPr>
          <w:rFonts w:ascii="Helvetica" w:hAnsi="Helvetica" w:cs="Arial"/>
          <w:b/>
          <w:bCs/>
          <w:color w:val="000000" w:themeColor="text1"/>
          <w:u w:val="single"/>
          <w:bdr w:val="nil"/>
        </w:rPr>
        <w:t xml:space="preserve">About Public Justice </w:t>
      </w:r>
    </w:p>
    <w:p w:rsidR="00FB71CD" w:rsidRPr="00E00333" w:rsidP="002D118B">
      <w:pPr>
        <w:pStyle w:val="NormalWeb"/>
        <w:textAlignment w:val="baseline"/>
        <w:rPr>
          <w:rFonts w:ascii="Helvetica" w:hAnsi="Helvetica" w:cs="Arial"/>
          <w:color w:val="000000" w:themeColor="text1"/>
          <w:shd w:val="clear" w:color="auto" w:fill="FFFFFF"/>
        </w:rPr>
      </w:pPr>
      <w:r w:rsidRPr="00E00333">
        <w:rPr>
          <w:rFonts w:ascii="Helvetica" w:hAnsi="Helvetica" w:cs="Arial"/>
          <w:color w:val="000000" w:themeColor="text1"/>
          <w:bdr w:val="nil"/>
        </w:rPr>
        <w:t xml:space="preserve">Public Justice </w:t>
      </w:r>
      <w:r w:rsidRPr="00E00333">
        <w:rPr>
          <w:rFonts w:ascii="Helvetica" w:hAnsi="Helvetica" w:cs="Arial"/>
          <w:color w:val="000000" w:themeColor="text1"/>
          <w:shd w:val="clear" w:color="auto" w:fill="FFFFFF"/>
        </w:rPr>
        <w:t>pursues high impact lawsuits to combat social and economic injustice, protect the</w:t>
      </w:r>
      <w:r w:rsidRPr="00E00333">
        <w:rPr>
          <w:rFonts w:ascii="Helvetica" w:hAnsi="Helvetica" w:cs="Arial"/>
          <w:color w:val="000000" w:themeColor="text1"/>
          <w:shd w:val="clear" w:color="auto" w:fill="FFFFFF"/>
        </w:rPr>
        <w:t xml:space="preserve"> Earth’s sustainability, and challenge predatory corporate conduct and government abuses. Over the years, the organization’s staff attorneys have joined forces with some of the most distinguished and accomplished attorneys in the plaintiffs’ bar. They have</w:t>
      </w:r>
      <w:r w:rsidRPr="00E00333">
        <w:rPr>
          <w:rFonts w:ascii="Helvetica" w:hAnsi="Helvetica" w:cs="Arial"/>
          <w:color w:val="000000" w:themeColor="text1"/>
          <w:shd w:val="clear" w:color="auto" w:fill="FFFFFF"/>
        </w:rPr>
        <w:t xml:space="preserve"> also partnered with or represented some of the most dedicated public interest groups in the country. For more information, please visit www.publicjustice.net.</w:t>
      </w:r>
    </w:p>
    <w:p w:rsidR="00C76AC5" w:rsidRPr="00E00333" w:rsidP="002D118B">
      <w:pPr>
        <w:pStyle w:val="NormalWeb"/>
        <w:textAlignment w:val="baseline"/>
        <w:rPr>
          <w:rFonts w:ascii="Helvetica" w:hAnsi="Helvetica" w:cs="Arial"/>
          <w:color w:val="000000" w:themeColor="text1"/>
          <w:shd w:val="clear" w:color="auto" w:fill="FFFFFF"/>
        </w:rPr>
      </w:pPr>
    </w:p>
    <w:p w:rsidR="00FB71CD" w:rsidRPr="00E00333" w:rsidP="002D118B">
      <w:pPr>
        <w:pStyle w:val="NormalWeb"/>
        <w:textAlignment w:val="baseline"/>
        <w:rPr>
          <w:rFonts w:ascii="Helvetica" w:hAnsi="Helvetica" w:cs="Arial"/>
          <w:b/>
          <w:bCs/>
          <w:i/>
          <w:iCs/>
          <w:color w:val="000000" w:themeColor="text1"/>
          <w:bdr w:val="nil"/>
        </w:rPr>
      </w:pPr>
    </w:p>
    <w:sectPr w:rsidSect="000B4B3A">
      <w:headerReference w:type="even" r:id="rId4"/>
      <w:headerReference w:type="default" r:id="rId5"/>
      <w:footerReference w:type="even" r:id="rId6"/>
      <w:footerReference w:type="default" r:id="rId7"/>
      <w:headerReference w:type="first" r:id="rId8"/>
      <w:footerReference w:type="first" r:id="rId9"/>
      <w:type w:val="continuous"/>
      <w:pgSz w:w="12240" w:h="15840" w:code="1"/>
      <w:pgMar w:top="1440" w:right="1440" w:bottom="1440" w:left="1440" w:header="1080" w:footer="151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7DD" w:rsidRPr="003B77DD" w:rsidP="003B77DD">
    <w:pPr>
      <w:pStyle w:val="Footer"/>
    </w:pPr>
    <w:r w:rsidRPr="009F7F8C">
      <w:rPr>
        <w:noProof/>
        <w:sz w:val="16"/>
      </w:rPr>
      <w:t>{00332202;1}</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7DD" w:rsidRPr="003B77DD" w:rsidP="003B77DD">
    <w:pPr>
      <w:pStyle w:val="Footer"/>
    </w:pPr>
    <w:r w:rsidRPr="009F7F8C">
      <w:rPr>
        <w:noProof/>
        <w:sz w:val="16"/>
      </w:rPr>
      <w:t>{00332202;1}</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A875342"/>
    <w:multiLevelType w:val="hybridMultilevel"/>
    <w:tmpl w:val="9D2897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3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B4B3A"/>
  </w:style>
  <w:style w:type="paragraph" w:styleId="Footer">
    <w:name w:val="footer"/>
    <w:basedOn w:val="Normal"/>
    <w:link w:val="FooterChar"/>
    <w:uiPriority w:val="99"/>
    <w:unhideWhenUsed/>
    <w:rsid w:val="000B4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B4B3A"/>
  </w:style>
  <w:style w:type="paragraph" w:styleId="NormalWeb">
    <w:name w:val="Normal (Web)"/>
    <w:basedOn w:val="Normal"/>
    <w:uiPriority w:val="99"/>
    <w:unhideWhenUsed/>
    <w:rsid w:val="00CC33E5"/>
    <w:pPr>
      <w:spacing w:before="100" w:beforeAutospacing="1" w:after="100" w:afterAutospacing="1"/>
    </w:pPr>
  </w:style>
  <w:style w:type="character" w:styleId="Emphasis">
    <w:name w:val="Emphasis"/>
    <w:basedOn w:val="DefaultParagraphFont"/>
    <w:uiPriority w:val="20"/>
    <w:qFormat/>
    <w:rsid w:val="00CC33E5"/>
    <w:rPr>
      <w:i/>
      <w:iCs/>
    </w:rPr>
  </w:style>
  <w:style w:type="character" w:styleId="Strong">
    <w:name w:val="Strong"/>
    <w:basedOn w:val="DefaultParagraphFont"/>
    <w:uiPriority w:val="22"/>
    <w:qFormat/>
    <w:rsid w:val="00CC33E5"/>
    <w:rPr>
      <w:b/>
      <w:bCs/>
    </w:rPr>
  </w:style>
  <w:style w:type="character" w:customStyle="1" w:styleId="apple-converted-space">
    <w:name w:val="apple-converted-space"/>
    <w:basedOn w:val="DefaultParagraphFont"/>
    <w:rsid w:val="00CC33E5"/>
  </w:style>
  <w:style w:type="character" w:customStyle="1" w:styleId="UnresolvedMention1">
    <w:name w:val="Unresolved Mention1"/>
    <w:basedOn w:val="DefaultParagraphFont"/>
    <w:uiPriority w:val="99"/>
    <w:rsid w:val="00CC33E5"/>
    <w:rPr>
      <w:color w:val="605E5C"/>
      <w:shd w:val="clear" w:color="auto" w:fill="E1DFDD"/>
    </w:rPr>
  </w:style>
  <w:style w:type="paragraph" w:styleId="BalloonText">
    <w:name w:val="Balloon Text"/>
    <w:basedOn w:val="Normal"/>
    <w:link w:val="BalloonTextChar"/>
    <w:uiPriority w:val="99"/>
    <w:semiHidden/>
    <w:unhideWhenUsed/>
    <w:rsid w:val="003D7F44"/>
    <w:rPr>
      <w:sz w:val="18"/>
      <w:szCs w:val="18"/>
    </w:rPr>
  </w:style>
  <w:style w:type="character" w:customStyle="1" w:styleId="BalloonTextChar">
    <w:name w:val="Balloon Text Char"/>
    <w:basedOn w:val="DefaultParagraphFont"/>
    <w:link w:val="BalloonText"/>
    <w:uiPriority w:val="99"/>
    <w:semiHidden/>
    <w:rsid w:val="003D7F4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 Release Re the Public Justice Trial Lawyers of the Year  (00332202.DOCX;1)</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2019-07-01T17:43:47Z</dcterms:created>
  <dcterms:modified xsi:type="dcterms:W3CDTF">2019-07-01T17:43:47Z</dcterms:modified>
</cp:coreProperties>
</file>